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8F41D5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8155A2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033F87" w:rsidR="00FA5389">
        <w:rPr>
          <w:b/>
          <w:sz w:val="28"/>
          <w:szCs w:val="28"/>
          <w:lang w:eastAsia="ar-SA"/>
        </w:rPr>
        <w:t>6</w:t>
      </w:r>
      <w:r w:rsidR="002C516C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62F9C8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B958AA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2F5737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7D5CC3F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AD621E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3E0B3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4E64614B" w14:textId="750D3A6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033F87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7BF5694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0D51D1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AC8DF4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72A9948" w14:textId="1E9245E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033F87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033F87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2C516C">
        <w:rPr>
          <w:rFonts w:eastAsia="MS Mincho"/>
          <w:sz w:val="28"/>
          <w:szCs w:val="28"/>
        </w:rPr>
        <w:t>300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033F87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2C516C">
        <w:rPr>
          <w:rFonts w:eastAsia="MS Mincho"/>
          <w:sz w:val="28"/>
          <w:szCs w:val="28"/>
        </w:rPr>
        <w:t>6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033F87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68474D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12873C1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91961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DBD49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1B3FF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1522AE1" w14:textId="099B1D41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033F8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2843F466" w14:textId="07D937F9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033F87">
        <w:rPr>
          <w:rFonts w:eastAsia="MS Mincho"/>
          <w:sz w:val="28"/>
          <w:szCs w:val="28"/>
        </w:rPr>
        <w:t>---</w:t>
      </w:r>
      <w:r w:rsidRPr="002C516C" w:rsidR="002C516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6 ст. 12.9 КоАП РФ, вступившим в законную силу </w:t>
      </w:r>
      <w:r w:rsidR="00033F87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2C516C">
        <w:rPr>
          <w:rFonts w:eastAsia="MS Mincho"/>
          <w:sz w:val="28"/>
          <w:szCs w:val="28"/>
        </w:rPr>
        <w:t>300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203ADCB" w14:textId="2A44FF52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Pr="00FA5389" w:rsidR="00FA5389">
        <w:rPr>
          <w:rFonts w:eastAsia="MS Mincho"/>
          <w:sz w:val="28"/>
          <w:szCs w:val="28"/>
        </w:rPr>
        <w:t xml:space="preserve"> </w:t>
      </w:r>
      <w:r w:rsidR="00033F87">
        <w:rPr>
          <w:rFonts w:eastAsia="MS Mincho"/>
          <w:sz w:val="28"/>
          <w:szCs w:val="28"/>
        </w:rPr>
        <w:t>---</w:t>
      </w:r>
      <w:r w:rsidR="00FA5389">
        <w:rPr>
          <w:rFonts w:eastAsia="MS Mincho"/>
          <w:sz w:val="28"/>
          <w:szCs w:val="28"/>
        </w:rPr>
        <w:t>,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722F1C2F" w14:textId="62BFF27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033F87">
        <w:rPr>
          <w:rFonts w:eastAsia="MS Mincho"/>
          <w:sz w:val="28"/>
          <w:szCs w:val="28"/>
        </w:rPr>
        <w:t>---</w:t>
      </w:r>
    </w:p>
    <w:p w:rsidR="000A10E0" w:rsidP="00BC0392" w14:paraId="1459364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D8512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351BBD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044C89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0735B1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31DE8E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4214E1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362E57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2AE11E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195DE3C3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41F76FD4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4C89F680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63C268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2C516C">
        <w:rPr>
          <w:rFonts w:eastAsia="MS Mincho"/>
          <w:sz w:val="28"/>
          <w:szCs w:val="28"/>
        </w:rPr>
        <w:t>60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2C516C">
        <w:rPr>
          <w:rFonts w:eastAsia="MS Mincho"/>
          <w:sz w:val="28"/>
          <w:szCs w:val="28"/>
        </w:rPr>
        <w:t>шести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3424C60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01CE797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916085E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0D4BE4F5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339B3736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64A1F2E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3F04B0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47C285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4A24335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69D1C6F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2FCA4347" w14:textId="3CCD089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033F87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7D83BCF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41F4C56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664564C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0F37B26F" w14:textId="6D82017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</w:t>
      </w:r>
      <w:r w:rsidR="00033F87">
        <w:rPr>
          <w:rFonts w:eastAsia="MS Mincho"/>
          <w:sz w:val="28"/>
          <w:szCs w:val="28"/>
        </w:rPr>
        <w:t xml:space="preserve">                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206BE5" w:rsidRPr="00437ADA" w:rsidP="00206BE5" w14:paraId="3F024B6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5613407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3B9BE9A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4CF60C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16C">
          <w:rPr>
            <w:noProof/>
          </w:rPr>
          <w:t>4</w:t>
        </w:r>
        <w:r>
          <w:fldChar w:fldCharType="end"/>
        </w:r>
      </w:p>
    </w:sdtContent>
  </w:sdt>
  <w:p w:rsidR="0004507A" w14:paraId="32C113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6CEE38C3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2A5000">
      <w:t>4</w:t>
    </w:r>
    <w:r w:rsidR="002C516C">
      <w:t>8</w:t>
    </w:r>
    <w:r w:rsidRPr="00437ADA">
      <w:t>-</w:t>
    </w:r>
    <w:r w:rsidR="004D1C0D">
      <w:t>0</w:t>
    </w:r>
    <w:r w:rsidR="002C516C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3F87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C516C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3A0C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4167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650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AC5F-4402-4DFC-9A98-FBA717D6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